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bidi w:val="0"/>
        <w:spacing w:before="240" w:after="0"/>
        <w:ind w:firstLine="54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Требования, которым должны соответствовать заявители на дату представления в Министерство документов, необходимых для получения субсидий:</w:t>
      </w:r>
    </w:p>
    <w:p>
      <w:pPr>
        <w:pStyle w:val="ConsPlusNormal"/>
        <w:bidi w:val="0"/>
        <w:spacing w:before="160" w:after="0"/>
        <w:ind w:left="0" w:righ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у заявителей должна отсутствовать неисполненная обязанность                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ConsPlusNormal"/>
        <w:bidi w:val="0"/>
        <w:spacing w:before="160" w:after="0"/>
        <w:ind w:left="0" w:right="0" w:firstLine="540"/>
        <w:jc w:val="both"/>
        <w:rPr>
          <w:rFonts w:ascii="PT Astra Serif" w:hAnsi="PT Astra Serif"/>
          <w:sz w:val="28"/>
          <w:szCs w:val="28"/>
        </w:rPr>
      </w:pPr>
      <w:bookmarkStart w:id="0" w:name="Par509"/>
      <w:bookmarkEnd w:id="0"/>
      <w:r>
        <w:rPr>
          <w:rFonts w:ascii="PT Astra Serif" w:hAnsi="PT Astra Serif"/>
          <w:sz w:val="28"/>
          <w:szCs w:val="28"/>
        </w:rPr>
        <w:t>2) у заявителей должна отсутствовать просроченная задолженность                        по возврату в областной бюджет Ульяновской области субсидий, предоставленных в том числе в соответствии с иными правовыми актами,                и иная просроченная задолженность перед областным бюджетом Ульяновской области;</w:t>
      </w:r>
    </w:p>
    <w:p>
      <w:pPr>
        <w:pStyle w:val="ConsPlusNormal"/>
        <w:bidi w:val="0"/>
        <w:spacing w:before="160" w:after="0"/>
        <w:ind w:left="0" w:righ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заявители не должны находиться в процессе реорганизации, ликвидации, в отношении их не должны быть введены процедуры, применяемые в деле                       о банкротстве, деятельность заявителей не должна быть приостановлена                          в порядке, предусмотренном законодательством Российской Федерации;</w:t>
      </w:r>
    </w:p>
    <w:p>
      <w:pPr>
        <w:pStyle w:val="ConsPlusNormal"/>
        <w:bidi w:val="0"/>
        <w:spacing w:before="160" w:after="0"/>
        <w:ind w:left="0" w:right="0" w:firstLine="540"/>
        <w:jc w:val="both"/>
        <w:rPr/>
      </w:pPr>
      <w:bookmarkStart w:id="1" w:name="Par512"/>
      <w:bookmarkEnd w:id="1"/>
      <w:r>
        <w:rPr>
          <w:rFonts w:ascii="PT Astra Serif" w:hAnsi="PT Astra Serif"/>
          <w:sz w:val="28"/>
          <w:szCs w:val="28"/>
        </w:rPr>
        <w:t xml:space="preserve">4) заявители не должны получать средства из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ar496">
        <w:r>
          <w:rPr>
            <w:rFonts w:ascii="PT Astra Serif" w:hAnsi="PT Astra Serif"/>
            <w:color w:val="0000FF"/>
            <w:sz w:val="28"/>
            <w:szCs w:val="28"/>
          </w:rPr>
          <w:t>пункте 2</w:t>
        </w:r>
      </w:hyperlink>
      <w:r>
        <w:rPr>
          <w:rFonts w:ascii="PT Astra Serif" w:hAnsi="PT Astra Serif"/>
          <w:sz w:val="28"/>
          <w:szCs w:val="28"/>
        </w:rPr>
        <w:t xml:space="preserve"> настоящих Правил;</w:t>
      </w:r>
    </w:p>
    <w:p>
      <w:pPr>
        <w:pStyle w:val="ConsPlusNormal"/>
        <w:bidi w:val="0"/>
        <w:spacing w:before="160" w:after="0"/>
        <w:ind w:left="0" w:righ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заявители должны подтвердить затраты на приобретение мини-теплиц, необходимых для обеспечения деятельности отдельных категорий граждан, ведущих личное подсобное хозяйство, в полном объеме;</w:t>
      </w:r>
    </w:p>
    <w:p>
      <w:pPr>
        <w:pStyle w:val="ConsPlusNormal"/>
        <w:bidi w:val="0"/>
        <w:spacing w:before="160" w:after="0"/>
        <w:ind w:left="0" w:righ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заявители должны предоставить приобретенные мини-теплицы в аренду отдельным категориям граждан, ведущих личное подсобное хозяйство, в целях обеспечения их деятельности;</w:t>
      </w:r>
    </w:p>
    <w:p>
      <w:pPr>
        <w:pStyle w:val="ConsPlusNormal"/>
        <w:bidi w:val="0"/>
        <w:spacing w:before="160" w:after="0"/>
        <w:ind w:left="0" w:righ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заявители должны представить в Министерство отчетность о финансово-экономическом состоянии товаропроизводителей агропромышленного комплекса за предыдущий финансовый год и (или) текущий квартал по формам, </w:t>
      </w:r>
      <w:r>
        <w:rPr>
          <w:rFonts w:ascii="PT Astra Serif" w:hAnsi="PT Astra Serif"/>
          <w:color w:val="000000"/>
          <w:sz w:val="28"/>
          <w:szCs w:val="28"/>
        </w:rPr>
        <w:t>утвержденным приказами Министерства сельского хозяйства Российской Федерации,</w:t>
      </w:r>
      <w:r>
        <w:rPr>
          <w:rFonts w:ascii="PT Astra Serif" w:hAnsi="PT Astra Serif"/>
          <w:sz w:val="28"/>
          <w:szCs w:val="28"/>
        </w:rPr>
        <w:t xml:space="preserve"> и в сроки, установленные Министерством (для сельскохозяйственных потребительских кооперативов);</w:t>
      </w:r>
    </w:p>
    <w:p>
      <w:pPr>
        <w:pStyle w:val="ConsPlusNormal"/>
        <w:bidi w:val="0"/>
        <w:spacing w:before="160" w:after="0"/>
        <w:ind w:left="0" w:righ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 заявители должны представить в Министерство годовую бухгалтерскую (финансовую) отчетность за предыдущий финансовый год (для потребительских обществ);</w:t>
      </w:r>
    </w:p>
    <w:p>
      <w:pPr>
        <w:pStyle w:val="ConsPlusNormal"/>
        <w:bidi w:val="0"/>
        <w:spacing w:before="160" w:after="0"/>
        <w:ind w:left="0" w:right="0" w:firstLine="540"/>
        <w:jc w:val="both"/>
        <w:rPr>
          <w:rFonts w:ascii="PT Astra Serif" w:hAnsi="PT Astra Serif"/>
          <w:sz w:val="28"/>
          <w:szCs w:val="28"/>
        </w:rPr>
      </w:pPr>
      <w:bookmarkStart w:id="2" w:name="Par518"/>
      <w:bookmarkEnd w:id="2"/>
      <w:r>
        <w:rPr>
          <w:rFonts w:ascii="PT Astra Serif" w:hAnsi="PT Astra Serif"/>
          <w:sz w:val="28"/>
          <w:szCs w:val="28"/>
        </w:rPr>
        <w:t>9) заявителям не должно быть назначено административное наказание                     за нарушение условий предоставления из областного бюджета Ульяновской области иных субсидий, если срок, в течение которого заявитель считается подвергнутым такому наказанию, не истек;</w:t>
      </w:r>
    </w:p>
    <w:p>
      <w:pPr>
        <w:pStyle w:val="ConsPlusNormal"/>
        <w:bidi w:val="0"/>
        <w:spacing w:before="160" w:after="0"/>
        <w:ind w:left="0" w:righ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10) заявители не должны являться иностранными юридическими лицами;</w:t>
      </w:r>
    </w:p>
    <w:p>
      <w:pPr>
        <w:pStyle w:val="ConsPlusNormal"/>
        <w:bidi w:val="0"/>
        <w:spacing w:before="160" w:after="0"/>
        <w:ind w:left="0" w:right="0" w:firstLine="540"/>
        <w:jc w:val="both"/>
        <w:rPr>
          <w:rFonts w:ascii="PT Astra Serif" w:hAnsi="PT Astra Serif"/>
          <w:sz w:val="28"/>
          <w:szCs w:val="28"/>
        </w:rPr>
      </w:pPr>
      <w:bookmarkStart w:id="3" w:name="Par522"/>
      <w:bookmarkEnd w:id="3"/>
      <w:r>
        <w:rPr>
          <w:rFonts w:ascii="PT Astra Serif" w:hAnsi="PT Astra Serif"/>
          <w:sz w:val="28"/>
          <w:szCs w:val="28"/>
        </w:rPr>
        <w:t>11) у заявителей должна отсутствовать просроченная (неурегулированная) задолженность по денежным обязательствам перед Ульяновской областью.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Liberation Mono">
    <w:altName w:val="Courier New"/>
    <w:charset w:val="01"/>
    <w:family w:val="swiss"/>
    <w:pitch w:val="default"/>
  </w:font>
  <w:font w:name="Arial">
    <w:charset w:val="01"/>
    <w:family w:val="swiss"/>
    <w:pitch w:val="default"/>
  </w:font>
  <w:font w:name="PT Astra Serif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ourier New" w:cs="Liberation Serif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hi-I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LibreOffice/6.4.4.2$Linux_X86_64 LibreOffice_project/40$Build-2</Application>
  <Pages>2</Pages>
  <Words>289</Words>
  <Characters>2180</Characters>
  <CharactersWithSpaces>2578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2021-03-03T17:32:54Z</dcterms:modified>
  <cp:revision>3</cp:revision>
  <dc:subject/>
  <dc:title/>
</cp:coreProperties>
</file>